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91B1CC2" w14:textId="77777777" w:rsidR="00575976" w:rsidRPr="003219DD" w:rsidRDefault="00575976" w:rsidP="00575976">
      <w:pPr>
        <w:jc w:val="center"/>
        <w:rPr>
          <w:rFonts w:ascii="Times New Roman" w:hAnsi="Times New Roman" w:cs="Times New Roman"/>
          <w:b/>
          <w:bCs/>
          <w:sz w:val="40"/>
          <w:szCs w:val="40"/>
        </w:rPr>
      </w:pPr>
      <w:r w:rsidRPr="003219DD">
        <w:rPr>
          <w:rFonts w:ascii="Times New Roman" w:hAnsi="Times New Roman" w:cs="Times New Roman"/>
          <w:b/>
          <w:bCs/>
          <w:sz w:val="40"/>
          <w:szCs w:val="40"/>
        </w:rPr>
        <w:t>國立中興大學專任教師轉聘作業要點</w:t>
      </w:r>
    </w:p>
    <w:p w14:paraId="3CE624DF" w14:textId="2B182B5C" w:rsidR="00575976" w:rsidRPr="003219DD" w:rsidRDefault="00575976" w:rsidP="00575976">
      <w:pPr>
        <w:jc w:val="center"/>
        <w:rPr>
          <w:rFonts w:ascii="Times New Roman" w:hAnsi="Times New Roman" w:cs="Times New Roman"/>
          <w:b/>
          <w:bCs/>
          <w:sz w:val="40"/>
          <w:szCs w:val="40"/>
        </w:rPr>
      </w:pPr>
      <w:r w:rsidRPr="003219DD">
        <w:rPr>
          <w:rFonts w:ascii="Times New Roman" w:hAnsi="Times New Roman" w:cs="Times New Roman"/>
          <w:b/>
          <w:bCs/>
          <w:sz w:val="40"/>
          <w:szCs w:val="40"/>
          <w:lang w:val="en-US"/>
        </w:rPr>
        <w:t>National Chung Hsing University Directives Governing Transfers of Appointment for Full-Time Faculty Members</w:t>
      </w:r>
    </w:p>
    <w:p w14:paraId="64215A59" w14:textId="77777777" w:rsidR="00575976" w:rsidRPr="003219DD" w:rsidRDefault="00575976" w:rsidP="00575976">
      <w:pPr>
        <w:rPr>
          <w:rFonts w:ascii="Times New Roman" w:hAnsi="Times New Roman" w:cs="Times New Roman"/>
          <w:sz w:val="28"/>
          <w:szCs w:val="28"/>
        </w:rPr>
      </w:pPr>
    </w:p>
    <w:p w14:paraId="72F3E1C5" w14:textId="77777777" w:rsidR="00575976" w:rsidRPr="003219DD" w:rsidRDefault="00575976" w:rsidP="00575976">
      <w:pPr>
        <w:jc w:val="right"/>
        <w:rPr>
          <w:rFonts w:ascii="Times New Roman" w:hAnsi="Times New Roman" w:cs="Times New Roman"/>
          <w:sz w:val="20"/>
          <w:szCs w:val="20"/>
        </w:rPr>
      </w:pPr>
      <w:r w:rsidRPr="003219DD">
        <w:rPr>
          <w:rFonts w:ascii="Times New Roman" w:hAnsi="Times New Roman" w:cs="Times New Roman"/>
          <w:sz w:val="20"/>
          <w:szCs w:val="20"/>
        </w:rPr>
        <w:t>104</w:t>
      </w:r>
      <w:r w:rsidRPr="003219DD">
        <w:rPr>
          <w:rFonts w:ascii="Times New Roman" w:hAnsi="Times New Roman" w:cs="Times New Roman"/>
          <w:sz w:val="20"/>
          <w:szCs w:val="20"/>
        </w:rPr>
        <w:t>年</w:t>
      </w:r>
      <w:r w:rsidRPr="003219DD">
        <w:rPr>
          <w:rFonts w:ascii="Times New Roman" w:hAnsi="Times New Roman" w:cs="Times New Roman"/>
          <w:sz w:val="20"/>
          <w:szCs w:val="20"/>
        </w:rPr>
        <w:t>5</w:t>
      </w:r>
      <w:r w:rsidRPr="003219DD">
        <w:rPr>
          <w:rFonts w:ascii="Times New Roman" w:hAnsi="Times New Roman" w:cs="Times New Roman"/>
          <w:sz w:val="20"/>
          <w:szCs w:val="20"/>
        </w:rPr>
        <w:t>月</w:t>
      </w:r>
      <w:r w:rsidRPr="003219DD">
        <w:rPr>
          <w:rFonts w:ascii="Times New Roman" w:hAnsi="Times New Roman" w:cs="Times New Roman"/>
          <w:sz w:val="20"/>
          <w:szCs w:val="20"/>
        </w:rPr>
        <w:t>8</w:t>
      </w:r>
      <w:r w:rsidRPr="003219DD">
        <w:rPr>
          <w:rFonts w:ascii="Times New Roman" w:hAnsi="Times New Roman" w:cs="Times New Roman"/>
          <w:sz w:val="20"/>
          <w:szCs w:val="20"/>
        </w:rPr>
        <w:t>日第</w:t>
      </w:r>
      <w:r w:rsidRPr="003219DD">
        <w:rPr>
          <w:rFonts w:ascii="Times New Roman" w:hAnsi="Times New Roman" w:cs="Times New Roman"/>
          <w:sz w:val="20"/>
          <w:szCs w:val="20"/>
        </w:rPr>
        <w:t>72</w:t>
      </w:r>
      <w:r w:rsidRPr="003219DD">
        <w:rPr>
          <w:rFonts w:ascii="Times New Roman" w:hAnsi="Times New Roman" w:cs="Times New Roman"/>
          <w:sz w:val="20"/>
          <w:szCs w:val="20"/>
        </w:rPr>
        <w:t>次校務會議訂定</w:t>
      </w:r>
    </w:p>
    <w:p w14:paraId="6E93F247" w14:textId="592CE3CC" w:rsidR="00575976" w:rsidRPr="003219DD" w:rsidRDefault="00FC51C1" w:rsidP="00575976">
      <w:pPr>
        <w:jc w:val="right"/>
        <w:rPr>
          <w:rFonts w:ascii="Times New Roman" w:hAnsi="Times New Roman" w:cs="Times New Roman"/>
          <w:sz w:val="20"/>
          <w:szCs w:val="20"/>
        </w:rPr>
      </w:pPr>
      <w:r w:rsidRPr="003219DD">
        <w:rPr>
          <w:rFonts w:ascii="Times New Roman" w:hAnsi="Times New Roman" w:cs="Times New Roman"/>
          <w:sz w:val="20"/>
          <w:szCs w:val="20"/>
          <w:lang w:val="en-US"/>
        </w:rPr>
        <w:t>May 8, 2015</w:t>
      </w:r>
      <w:r w:rsidR="003219DD">
        <w:rPr>
          <w:rFonts w:ascii="Times New Roman" w:hAnsi="Times New Roman" w:cs="Times New Roman"/>
          <w:sz w:val="20"/>
          <w:szCs w:val="20"/>
          <w:lang w:val="en-US"/>
        </w:rPr>
        <w:t xml:space="preserve"> </w:t>
      </w:r>
      <w:r w:rsidRPr="003219DD">
        <w:rPr>
          <w:rFonts w:ascii="Times New Roman" w:hAnsi="Times New Roman" w:cs="Times New Roman"/>
          <w:sz w:val="20"/>
          <w:szCs w:val="20"/>
          <w:lang w:val="en-US"/>
        </w:rPr>
        <w:t>Formulated at the 72nd University Council meeting</w:t>
      </w:r>
    </w:p>
    <w:p w14:paraId="3099EF62" w14:textId="7670CD07" w:rsidR="00575976" w:rsidRPr="003219DD" w:rsidRDefault="00575976" w:rsidP="00575976">
      <w:pPr>
        <w:jc w:val="right"/>
        <w:rPr>
          <w:rFonts w:ascii="Times New Roman" w:hAnsi="Times New Roman" w:cs="Times New Roman"/>
          <w:sz w:val="20"/>
          <w:szCs w:val="20"/>
        </w:rPr>
      </w:pPr>
      <w:r w:rsidRPr="003219DD">
        <w:rPr>
          <w:rFonts w:ascii="Times New Roman" w:hAnsi="Times New Roman" w:cs="Times New Roman"/>
          <w:sz w:val="20"/>
          <w:szCs w:val="20"/>
        </w:rPr>
        <w:t>104</w:t>
      </w:r>
      <w:r w:rsidRPr="003219DD">
        <w:rPr>
          <w:rFonts w:ascii="Times New Roman" w:hAnsi="Times New Roman" w:cs="Times New Roman"/>
          <w:sz w:val="20"/>
          <w:szCs w:val="20"/>
        </w:rPr>
        <w:t>年</w:t>
      </w:r>
      <w:r w:rsidRPr="003219DD">
        <w:rPr>
          <w:rFonts w:ascii="Times New Roman" w:hAnsi="Times New Roman" w:cs="Times New Roman"/>
          <w:sz w:val="20"/>
          <w:szCs w:val="20"/>
        </w:rPr>
        <w:t>12</w:t>
      </w:r>
      <w:r w:rsidRPr="003219DD">
        <w:rPr>
          <w:rFonts w:ascii="Times New Roman" w:hAnsi="Times New Roman" w:cs="Times New Roman"/>
          <w:sz w:val="20"/>
          <w:szCs w:val="20"/>
        </w:rPr>
        <w:t>月</w:t>
      </w:r>
      <w:r w:rsidRPr="003219DD">
        <w:rPr>
          <w:rFonts w:ascii="Times New Roman" w:hAnsi="Times New Roman" w:cs="Times New Roman"/>
          <w:sz w:val="20"/>
          <w:szCs w:val="20"/>
        </w:rPr>
        <w:t>11</w:t>
      </w:r>
      <w:r w:rsidRPr="003219DD">
        <w:rPr>
          <w:rFonts w:ascii="Times New Roman" w:hAnsi="Times New Roman" w:cs="Times New Roman"/>
          <w:sz w:val="20"/>
          <w:szCs w:val="20"/>
        </w:rPr>
        <w:t>日第</w:t>
      </w:r>
      <w:r w:rsidRPr="003219DD">
        <w:rPr>
          <w:rFonts w:ascii="Times New Roman" w:hAnsi="Times New Roman" w:cs="Times New Roman"/>
          <w:sz w:val="20"/>
          <w:szCs w:val="20"/>
        </w:rPr>
        <w:t>73</w:t>
      </w:r>
      <w:r w:rsidRPr="003219DD">
        <w:rPr>
          <w:rFonts w:ascii="Times New Roman" w:hAnsi="Times New Roman" w:cs="Times New Roman"/>
          <w:sz w:val="20"/>
          <w:szCs w:val="20"/>
        </w:rPr>
        <w:t>次校務會議修正</w:t>
      </w:r>
      <w:r w:rsidRPr="003219DD">
        <w:rPr>
          <w:rFonts w:ascii="Times New Roman" w:hAnsi="Times New Roman" w:cs="Times New Roman"/>
          <w:sz w:val="20"/>
          <w:szCs w:val="20"/>
        </w:rPr>
        <w:t>(</w:t>
      </w:r>
      <w:r w:rsidRPr="003219DD">
        <w:rPr>
          <w:rFonts w:ascii="Times New Roman" w:hAnsi="Times New Roman" w:cs="Times New Roman"/>
          <w:sz w:val="20"/>
          <w:szCs w:val="20"/>
        </w:rPr>
        <w:t>第</w:t>
      </w:r>
      <w:r w:rsidRPr="003219DD">
        <w:rPr>
          <w:rFonts w:ascii="Times New Roman" w:hAnsi="Times New Roman" w:cs="Times New Roman"/>
          <w:sz w:val="20"/>
          <w:szCs w:val="20"/>
        </w:rPr>
        <w:t>2</w:t>
      </w:r>
      <w:r w:rsidRPr="003219DD">
        <w:rPr>
          <w:rFonts w:ascii="Times New Roman" w:hAnsi="Times New Roman" w:cs="Times New Roman"/>
          <w:sz w:val="20"/>
          <w:szCs w:val="20"/>
        </w:rPr>
        <w:t>點</w:t>
      </w:r>
      <w:r w:rsidRPr="003219DD">
        <w:rPr>
          <w:rFonts w:ascii="Times New Roman" w:hAnsi="Times New Roman" w:cs="Times New Roman"/>
          <w:sz w:val="20"/>
          <w:szCs w:val="20"/>
        </w:rPr>
        <w:t>)</w:t>
      </w:r>
    </w:p>
    <w:p w14:paraId="3CC287DA" w14:textId="7271A1A4" w:rsidR="00575976" w:rsidRPr="003219DD" w:rsidRDefault="00FC51C1" w:rsidP="00575976">
      <w:pPr>
        <w:jc w:val="right"/>
        <w:rPr>
          <w:rFonts w:ascii="Times New Roman" w:hAnsi="Times New Roman" w:cs="Times New Roman"/>
          <w:sz w:val="20"/>
          <w:szCs w:val="20"/>
        </w:rPr>
      </w:pPr>
      <w:r w:rsidRPr="003219DD">
        <w:rPr>
          <w:rFonts w:ascii="Times New Roman" w:hAnsi="Times New Roman" w:cs="Times New Roman"/>
          <w:sz w:val="20"/>
          <w:szCs w:val="20"/>
          <w:lang w:val="en-US"/>
        </w:rPr>
        <w:t>December 11, 2015</w:t>
      </w:r>
      <w:r w:rsidR="003219DD">
        <w:rPr>
          <w:rFonts w:ascii="Times New Roman" w:hAnsi="Times New Roman" w:cs="Times New Roman"/>
          <w:sz w:val="20"/>
          <w:szCs w:val="20"/>
          <w:lang w:val="en-US"/>
        </w:rPr>
        <w:t xml:space="preserve"> </w:t>
      </w:r>
      <w:bookmarkStart w:id="0" w:name="_GoBack"/>
      <w:bookmarkEnd w:id="0"/>
      <w:r w:rsidRPr="003219DD">
        <w:rPr>
          <w:rFonts w:ascii="Times New Roman" w:hAnsi="Times New Roman" w:cs="Times New Roman"/>
          <w:sz w:val="20"/>
          <w:szCs w:val="20"/>
          <w:lang w:val="en-US"/>
        </w:rPr>
        <w:t>(Article 2) amended at the 73rd University Council meeting</w:t>
      </w:r>
    </w:p>
    <w:p w14:paraId="0DE28BFE" w14:textId="77777777" w:rsidR="00575976" w:rsidRPr="003219DD" w:rsidRDefault="00575976" w:rsidP="00575976">
      <w:pPr>
        <w:rPr>
          <w:rFonts w:ascii="Times New Roman" w:hAnsi="Times New Roman" w:cs="Times New Roman"/>
          <w:sz w:val="28"/>
          <w:szCs w:val="28"/>
        </w:rPr>
      </w:pPr>
    </w:p>
    <w:p w14:paraId="6643FCA5"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一、</w:t>
      </w:r>
      <w:r w:rsidRPr="003219DD">
        <w:rPr>
          <w:rFonts w:ascii="Times New Roman" w:hAnsi="Times New Roman" w:cs="Times New Roman"/>
          <w:sz w:val="28"/>
          <w:szCs w:val="28"/>
        </w:rPr>
        <w:tab/>
      </w:r>
      <w:r w:rsidRPr="003219DD">
        <w:rPr>
          <w:rFonts w:ascii="Times New Roman" w:hAnsi="Times New Roman" w:cs="Times New Roman"/>
          <w:sz w:val="28"/>
          <w:szCs w:val="28"/>
        </w:rPr>
        <w:t>為配合教育部大學整併及推動本校系所整併，整合教學資源，使專任教師於校內轉聘作業有所依循，特訂定本要點。</w:t>
      </w:r>
    </w:p>
    <w:p w14:paraId="472141ED" w14:textId="1AE9B530"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I.</w:t>
      </w:r>
      <w:r w:rsidRPr="003219DD">
        <w:rPr>
          <w:rFonts w:ascii="Times New Roman" w:hAnsi="Times New Roman" w:cs="Times New Roman"/>
          <w:sz w:val="28"/>
          <w:szCs w:val="28"/>
          <w:lang w:val="en-US"/>
        </w:rPr>
        <w:tab/>
        <w:t>To coordinate with the Ministry of Education’s initiative to encourage university consolidation, promote the University’s academic program mergers, and integrate teaching resources, these Directives have been formulated to provide a basis for internal transfers of appointment for full-time faculty members.</w:t>
      </w:r>
    </w:p>
    <w:p w14:paraId="07DE4C0B"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二、</w:t>
      </w:r>
      <w:r w:rsidRPr="003219DD">
        <w:rPr>
          <w:rFonts w:ascii="Times New Roman" w:hAnsi="Times New Roman" w:cs="Times New Roman"/>
          <w:sz w:val="28"/>
          <w:szCs w:val="28"/>
        </w:rPr>
        <w:tab/>
      </w:r>
      <w:r w:rsidRPr="003219DD">
        <w:rPr>
          <w:rFonts w:ascii="Times New Roman" w:hAnsi="Times New Roman" w:cs="Times New Roman"/>
          <w:sz w:val="28"/>
          <w:szCs w:val="28"/>
        </w:rPr>
        <w:t>轉聘作業：</w:t>
      </w:r>
    </w:p>
    <w:p w14:paraId="61EAF2D8" w14:textId="2EDB9148"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II.</w:t>
      </w:r>
      <w:r w:rsidRPr="003219DD">
        <w:rPr>
          <w:rFonts w:ascii="Times New Roman" w:hAnsi="Times New Roman" w:cs="Times New Roman"/>
          <w:sz w:val="28"/>
          <w:szCs w:val="28"/>
          <w:lang w:val="en-US"/>
        </w:rPr>
        <w:tab/>
        <w:t>Procedures for transfers of appointment:</w:t>
      </w:r>
    </w:p>
    <w:p w14:paraId="3B2B2981" w14:textId="77777777" w:rsidR="00575976" w:rsidRPr="003219DD" w:rsidRDefault="00575976" w:rsidP="00B96166">
      <w:pPr>
        <w:ind w:leftChars="516" w:left="1983" w:hangingChars="303" w:hanging="848"/>
        <w:jc w:val="both"/>
        <w:rPr>
          <w:rFonts w:ascii="Times New Roman" w:hAnsi="Times New Roman" w:cs="Times New Roman"/>
          <w:sz w:val="28"/>
          <w:szCs w:val="28"/>
        </w:rPr>
      </w:pPr>
      <w:r w:rsidRPr="003219DD">
        <w:rPr>
          <w:rFonts w:ascii="Times New Roman" w:hAnsi="Times New Roman" w:cs="Times New Roman"/>
          <w:sz w:val="28"/>
          <w:szCs w:val="28"/>
        </w:rPr>
        <w:t>(</w:t>
      </w:r>
      <w:r w:rsidRPr="003219DD">
        <w:rPr>
          <w:rFonts w:ascii="Times New Roman" w:hAnsi="Times New Roman" w:cs="Times New Roman"/>
          <w:sz w:val="28"/>
          <w:szCs w:val="28"/>
        </w:rPr>
        <w:t>一</w:t>
      </w:r>
      <w:r w:rsidRPr="003219DD">
        <w:rPr>
          <w:rFonts w:ascii="Times New Roman" w:hAnsi="Times New Roman" w:cs="Times New Roman"/>
          <w:sz w:val="28"/>
          <w:szCs w:val="28"/>
        </w:rPr>
        <w:t>)</w:t>
      </w:r>
      <w:r w:rsidRPr="003219DD">
        <w:rPr>
          <w:rFonts w:ascii="Times New Roman" w:hAnsi="Times New Roman" w:cs="Times New Roman"/>
          <w:sz w:val="28"/>
          <w:szCs w:val="28"/>
        </w:rPr>
        <w:tab/>
      </w:r>
      <w:r w:rsidRPr="003219DD">
        <w:rPr>
          <w:rFonts w:ascii="Times New Roman" w:hAnsi="Times New Roman" w:cs="Times New Roman"/>
          <w:sz w:val="28"/>
          <w:szCs w:val="28"/>
        </w:rPr>
        <w:t>個人因素申請：</w:t>
      </w:r>
    </w:p>
    <w:p w14:paraId="0D7328D4" w14:textId="75ACEF98" w:rsidR="00575976" w:rsidRPr="003219DD" w:rsidRDefault="002C52B8" w:rsidP="00B96166">
      <w:pPr>
        <w:ind w:leftChars="516" w:left="1983" w:hangingChars="303" w:hanging="848"/>
        <w:jc w:val="both"/>
        <w:rPr>
          <w:rFonts w:ascii="Times New Roman" w:hAnsi="Times New Roman" w:cs="Times New Roman"/>
          <w:sz w:val="28"/>
          <w:szCs w:val="28"/>
        </w:rPr>
      </w:pPr>
      <w:r w:rsidRPr="003219DD">
        <w:rPr>
          <w:rFonts w:ascii="Times New Roman" w:hAnsi="Times New Roman" w:cs="Times New Roman"/>
          <w:sz w:val="28"/>
          <w:szCs w:val="28"/>
          <w:lang w:val="en-US"/>
        </w:rPr>
        <w:t>(I)</w:t>
      </w:r>
      <w:r w:rsidRPr="003219DD">
        <w:rPr>
          <w:rFonts w:ascii="Times New Roman" w:hAnsi="Times New Roman" w:cs="Times New Roman"/>
          <w:sz w:val="28"/>
          <w:szCs w:val="28"/>
          <w:lang w:val="en-US"/>
        </w:rPr>
        <w:tab/>
        <w:t>Applications for personal reasons:</w:t>
      </w:r>
    </w:p>
    <w:p w14:paraId="67C0B6A0" w14:textId="77777777" w:rsidR="00575976" w:rsidRPr="003219DD" w:rsidRDefault="00575976" w:rsidP="00B96166">
      <w:pPr>
        <w:ind w:leftChars="902" w:left="1984"/>
        <w:jc w:val="both"/>
        <w:rPr>
          <w:rFonts w:ascii="Times New Roman" w:hAnsi="Times New Roman" w:cs="Times New Roman"/>
          <w:sz w:val="28"/>
          <w:szCs w:val="28"/>
        </w:rPr>
      </w:pPr>
      <w:r w:rsidRPr="003219DD">
        <w:rPr>
          <w:rFonts w:ascii="Times New Roman" w:hAnsi="Times New Roman" w:cs="Times New Roman"/>
          <w:sz w:val="28"/>
          <w:szCs w:val="28"/>
        </w:rPr>
        <w:t>本校</w:t>
      </w:r>
      <w:r w:rsidRPr="003219DD">
        <w:rPr>
          <w:rFonts w:ascii="Times New Roman" w:hAnsi="Times New Roman" w:cs="Times New Roman"/>
          <w:sz w:val="28"/>
          <w:szCs w:val="28"/>
        </w:rPr>
        <w:t>(</w:t>
      </w:r>
      <w:r w:rsidRPr="003219DD">
        <w:rPr>
          <w:rFonts w:ascii="Times New Roman" w:hAnsi="Times New Roman" w:cs="Times New Roman"/>
          <w:sz w:val="28"/>
          <w:szCs w:val="28"/>
        </w:rPr>
        <w:t>含整併學校</w:t>
      </w:r>
      <w:r w:rsidRPr="003219DD">
        <w:rPr>
          <w:rFonts w:ascii="Times New Roman" w:hAnsi="Times New Roman" w:cs="Times New Roman"/>
          <w:sz w:val="28"/>
          <w:szCs w:val="28"/>
        </w:rPr>
        <w:t>)</w:t>
      </w:r>
      <w:r w:rsidRPr="003219DD">
        <w:rPr>
          <w:rFonts w:ascii="Times New Roman" w:hAnsi="Times New Roman" w:cs="Times New Roman"/>
          <w:sz w:val="28"/>
          <w:szCs w:val="28"/>
        </w:rPr>
        <w:t>專任教師擬轉聘到其他系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者，依下列程序辦理：</w:t>
      </w:r>
    </w:p>
    <w:p w14:paraId="15F2171F" w14:textId="7868A1AE" w:rsidR="00575976" w:rsidRPr="003219DD" w:rsidRDefault="00575976" w:rsidP="00B96166">
      <w:pPr>
        <w:ind w:leftChars="902" w:left="1984"/>
        <w:jc w:val="both"/>
        <w:rPr>
          <w:rFonts w:ascii="Times New Roman" w:hAnsi="Times New Roman" w:cs="Times New Roman"/>
          <w:sz w:val="28"/>
          <w:szCs w:val="28"/>
        </w:rPr>
      </w:pPr>
      <w:r w:rsidRPr="003219DD">
        <w:rPr>
          <w:rFonts w:ascii="Times New Roman" w:hAnsi="Times New Roman" w:cs="Times New Roman"/>
          <w:sz w:val="28"/>
          <w:szCs w:val="28"/>
          <w:lang w:val="en-US"/>
        </w:rPr>
        <w:t>Full-time faculty members at the University (including those from merged institutions) who intend to transfer their appointment to another department (graduate institute, office, center, or degree program) shall follow the following procedures:</w:t>
      </w:r>
    </w:p>
    <w:p w14:paraId="1118D273" w14:textId="77777777" w:rsidR="00575976" w:rsidRPr="003219DD" w:rsidRDefault="00575976" w:rsidP="00B96166">
      <w:pPr>
        <w:ind w:leftChars="903" w:left="2410" w:hangingChars="151" w:hanging="423"/>
        <w:jc w:val="both"/>
        <w:rPr>
          <w:rFonts w:ascii="Times New Roman" w:hAnsi="Times New Roman" w:cs="Times New Roman"/>
          <w:sz w:val="28"/>
          <w:szCs w:val="28"/>
        </w:rPr>
      </w:pPr>
      <w:r w:rsidRPr="003219DD">
        <w:rPr>
          <w:rFonts w:ascii="Times New Roman" w:hAnsi="Times New Roman" w:cs="Times New Roman"/>
          <w:sz w:val="28"/>
          <w:szCs w:val="28"/>
          <w:lang w:val="en-US"/>
        </w:rPr>
        <w:t>1.</w:t>
      </w:r>
      <w:r w:rsidRPr="003219DD">
        <w:rPr>
          <w:rFonts w:ascii="Times New Roman" w:hAnsi="Times New Roman" w:cs="Times New Roman"/>
          <w:sz w:val="28"/>
          <w:szCs w:val="28"/>
          <w:lang w:val="en-US"/>
        </w:rPr>
        <w:tab/>
      </w:r>
      <w:r w:rsidRPr="003219DD">
        <w:rPr>
          <w:rFonts w:ascii="Times New Roman" w:hAnsi="Times New Roman" w:cs="Times New Roman"/>
          <w:sz w:val="28"/>
          <w:szCs w:val="28"/>
        </w:rPr>
        <w:t>學院內轉聘：經原服務系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教師評審委員會（以下簡稱教評會）同意，送由轉入之系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、院級教評會審議通過，簽請校長核定後，送人事室發聘及公告。</w:t>
      </w:r>
    </w:p>
    <w:p w14:paraId="036DCC65" w14:textId="77D2D505" w:rsidR="00575976" w:rsidRPr="003219DD" w:rsidRDefault="00575976" w:rsidP="00B96166">
      <w:pPr>
        <w:ind w:leftChars="1095" w:left="2409"/>
        <w:jc w:val="both"/>
        <w:rPr>
          <w:rFonts w:ascii="Times New Roman" w:hAnsi="Times New Roman" w:cs="Times New Roman"/>
          <w:sz w:val="28"/>
          <w:szCs w:val="28"/>
        </w:rPr>
      </w:pPr>
      <w:r w:rsidRPr="003219DD">
        <w:rPr>
          <w:rFonts w:ascii="Times New Roman" w:hAnsi="Times New Roman" w:cs="Times New Roman"/>
          <w:sz w:val="28"/>
          <w:szCs w:val="28"/>
          <w:lang w:val="en-US"/>
        </w:rPr>
        <w:t>Transfers of appointment within the same college: Faculty members shall submit a request to the Faculty Evaluation Committee of their original department (graduate institute, office, center, or degree program) for approval, after which the request shall be forwarded to the Faculty Evaluation Committees of the destination department (graduate institute, office, center, or degree program) and the college for deliberation, presented to the President for final approval, and delivered to the Office of Personnel for appointment and announcement.</w:t>
      </w:r>
    </w:p>
    <w:p w14:paraId="54289E0A" w14:textId="77777777" w:rsidR="00575976" w:rsidRPr="003219DD" w:rsidRDefault="00575976" w:rsidP="00B96166">
      <w:pPr>
        <w:ind w:leftChars="903" w:left="2410" w:hangingChars="151" w:hanging="423"/>
        <w:jc w:val="both"/>
        <w:rPr>
          <w:rFonts w:ascii="Times New Roman" w:hAnsi="Times New Roman" w:cs="Times New Roman"/>
          <w:sz w:val="28"/>
          <w:szCs w:val="28"/>
        </w:rPr>
      </w:pPr>
      <w:r w:rsidRPr="003219DD">
        <w:rPr>
          <w:rFonts w:ascii="Times New Roman" w:hAnsi="Times New Roman" w:cs="Times New Roman"/>
          <w:sz w:val="28"/>
          <w:szCs w:val="28"/>
          <w:lang w:val="en-US"/>
        </w:rPr>
        <w:t>2.</w:t>
      </w:r>
      <w:r w:rsidRPr="003219DD">
        <w:rPr>
          <w:rFonts w:ascii="Times New Roman" w:hAnsi="Times New Roman" w:cs="Times New Roman"/>
          <w:sz w:val="28"/>
          <w:szCs w:val="28"/>
          <w:lang w:val="en-US"/>
        </w:rPr>
        <w:tab/>
      </w:r>
      <w:r w:rsidRPr="003219DD">
        <w:rPr>
          <w:rFonts w:ascii="Times New Roman" w:hAnsi="Times New Roman" w:cs="Times New Roman"/>
          <w:sz w:val="28"/>
          <w:szCs w:val="28"/>
        </w:rPr>
        <w:t>跨學院轉聘：經原服務系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教評會同意，送該院級教評會審議通過（原系、所、院如不存在者則免前述程序），再送轉入之系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、院級教評會審議通過，簽請校長核定後，送人事室發聘及公告。</w:t>
      </w:r>
    </w:p>
    <w:p w14:paraId="082A4B4D" w14:textId="7F04433D" w:rsidR="00575976" w:rsidRPr="003219DD" w:rsidRDefault="00575976" w:rsidP="00B96166">
      <w:pPr>
        <w:ind w:leftChars="1095" w:left="2409"/>
        <w:jc w:val="both"/>
        <w:rPr>
          <w:rFonts w:ascii="Times New Roman" w:hAnsi="Times New Roman" w:cs="Times New Roman"/>
          <w:sz w:val="28"/>
          <w:szCs w:val="28"/>
        </w:rPr>
      </w:pPr>
      <w:r w:rsidRPr="003219DD">
        <w:rPr>
          <w:rFonts w:ascii="Times New Roman" w:hAnsi="Times New Roman" w:cs="Times New Roman"/>
          <w:sz w:val="28"/>
          <w:szCs w:val="28"/>
          <w:lang w:val="en-US"/>
        </w:rPr>
        <w:t xml:space="preserve">Transfers of appointment between colleges: Faculty members shall submit a request to the Faculty Evaluation Committee of their original department (graduate institute, office, center, or degree program) and the subordinate college for deliberation (waived if the original department, </w:t>
      </w:r>
      <w:r w:rsidRPr="003219DD">
        <w:rPr>
          <w:rFonts w:ascii="Times New Roman" w:hAnsi="Times New Roman" w:cs="Times New Roman"/>
          <w:sz w:val="28"/>
          <w:szCs w:val="28"/>
          <w:lang w:val="en-US"/>
        </w:rPr>
        <w:lastRenderedPageBreak/>
        <w:t>graduate institute, office, center, or degree program has become defunct), after which the request shall be forwarded to the Faculty Evaluation Committees of the destination department (graduate institute, office, center, or degree program) and the respective college for deliberation, presented to the President for final approval, and delivered to the Office of Personnel for appointment and announcement.</w:t>
      </w:r>
    </w:p>
    <w:p w14:paraId="56AAF056" w14:textId="77777777" w:rsidR="00575976" w:rsidRPr="003219DD" w:rsidRDefault="00575976" w:rsidP="00B96166">
      <w:pPr>
        <w:ind w:leftChars="516" w:left="1983" w:hangingChars="303" w:hanging="848"/>
        <w:jc w:val="both"/>
        <w:rPr>
          <w:rFonts w:ascii="Times New Roman" w:hAnsi="Times New Roman" w:cs="Times New Roman"/>
          <w:sz w:val="28"/>
          <w:szCs w:val="28"/>
        </w:rPr>
      </w:pPr>
      <w:r w:rsidRPr="003219DD">
        <w:rPr>
          <w:rFonts w:ascii="Times New Roman" w:hAnsi="Times New Roman" w:cs="Times New Roman"/>
          <w:sz w:val="28"/>
          <w:szCs w:val="28"/>
        </w:rPr>
        <w:t>(</w:t>
      </w:r>
      <w:r w:rsidRPr="003219DD">
        <w:rPr>
          <w:rFonts w:ascii="Times New Roman" w:hAnsi="Times New Roman" w:cs="Times New Roman"/>
          <w:sz w:val="28"/>
          <w:szCs w:val="28"/>
        </w:rPr>
        <w:t>二</w:t>
      </w:r>
      <w:r w:rsidRPr="003219DD">
        <w:rPr>
          <w:rFonts w:ascii="Times New Roman" w:hAnsi="Times New Roman" w:cs="Times New Roman"/>
          <w:sz w:val="28"/>
          <w:szCs w:val="28"/>
        </w:rPr>
        <w:t>)</w:t>
      </w:r>
      <w:r w:rsidRPr="003219DD">
        <w:rPr>
          <w:rFonts w:ascii="Times New Roman" w:hAnsi="Times New Roman" w:cs="Times New Roman"/>
          <w:sz w:val="28"/>
          <w:szCs w:val="28"/>
        </w:rPr>
        <w:tab/>
      </w:r>
      <w:r w:rsidRPr="003219DD">
        <w:rPr>
          <w:rFonts w:ascii="Times New Roman" w:hAnsi="Times New Roman" w:cs="Times New Roman"/>
          <w:sz w:val="28"/>
          <w:szCs w:val="28"/>
        </w:rPr>
        <w:t>單位變更因素申請：</w:t>
      </w:r>
    </w:p>
    <w:p w14:paraId="59977900" w14:textId="7BCBD4FF" w:rsidR="00575976" w:rsidRPr="003219DD" w:rsidRDefault="002C52B8" w:rsidP="00B96166">
      <w:pPr>
        <w:ind w:leftChars="516" w:left="1983" w:hangingChars="303" w:hanging="848"/>
        <w:jc w:val="both"/>
        <w:rPr>
          <w:rFonts w:ascii="Times New Roman" w:hAnsi="Times New Roman" w:cs="Times New Roman"/>
          <w:sz w:val="28"/>
          <w:szCs w:val="28"/>
        </w:rPr>
      </w:pPr>
      <w:r w:rsidRPr="003219DD">
        <w:rPr>
          <w:rFonts w:ascii="Times New Roman" w:hAnsi="Times New Roman" w:cs="Times New Roman"/>
          <w:sz w:val="28"/>
          <w:szCs w:val="28"/>
          <w:lang w:val="en-US"/>
        </w:rPr>
        <w:t>(II)</w:t>
      </w:r>
      <w:r w:rsidRPr="003219DD">
        <w:rPr>
          <w:rFonts w:ascii="Times New Roman" w:hAnsi="Times New Roman" w:cs="Times New Roman"/>
          <w:sz w:val="28"/>
          <w:szCs w:val="28"/>
          <w:lang w:val="en-US"/>
        </w:rPr>
        <w:tab/>
        <w:t>Applications due to organizational changes:</w:t>
      </w:r>
    </w:p>
    <w:p w14:paraId="5FEA375E" w14:textId="77777777" w:rsidR="00575976" w:rsidRPr="003219DD" w:rsidRDefault="00575976" w:rsidP="00B96166">
      <w:pPr>
        <w:ind w:leftChars="902" w:left="1984"/>
        <w:jc w:val="both"/>
        <w:rPr>
          <w:rFonts w:ascii="Times New Roman" w:hAnsi="Times New Roman" w:cs="Times New Roman"/>
          <w:sz w:val="28"/>
          <w:szCs w:val="28"/>
        </w:rPr>
      </w:pPr>
      <w:r w:rsidRPr="003219DD">
        <w:rPr>
          <w:rFonts w:ascii="Times New Roman" w:hAnsi="Times New Roman" w:cs="Times New Roman"/>
          <w:sz w:val="28"/>
          <w:szCs w:val="28"/>
        </w:rPr>
        <w:t>專任教師因學校整併、系所合併、停辦、停招、變更而需轉聘者，其工作權不受影響，並依下列程序辦理：</w:t>
      </w:r>
    </w:p>
    <w:p w14:paraId="4CCC2332" w14:textId="37B3498A" w:rsidR="00575976" w:rsidRPr="003219DD" w:rsidRDefault="00575976" w:rsidP="00B96166">
      <w:pPr>
        <w:ind w:leftChars="902" w:left="1984"/>
        <w:jc w:val="both"/>
        <w:rPr>
          <w:rFonts w:ascii="Times New Roman" w:hAnsi="Times New Roman" w:cs="Times New Roman"/>
          <w:sz w:val="28"/>
          <w:szCs w:val="28"/>
        </w:rPr>
      </w:pPr>
      <w:r w:rsidRPr="003219DD">
        <w:rPr>
          <w:rFonts w:ascii="Times New Roman" w:hAnsi="Times New Roman" w:cs="Times New Roman"/>
          <w:sz w:val="28"/>
          <w:szCs w:val="28"/>
          <w:lang w:val="en-US"/>
        </w:rPr>
        <w:t>For full-time faculty members who are required to transfer their appointment due to institutional consolidation, academic program merger, discontinuation, suspension of admissions, or organizational restructuring, their right to work shall remain unaffected, and the transfer shall be handled in accordance with the following procedures:</w:t>
      </w:r>
    </w:p>
    <w:p w14:paraId="7F9C5884" w14:textId="77777777" w:rsidR="00575976" w:rsidRPr="003219DD" w:rsidRDefault="00575976" w:rsidP="00B96166">
      <w:pPr>
        <w:ind w:leftChars="903" w:left="2410" w:hangingChars="151" w:hanging="423"/>
        <w:jc w:val="both"/>
        <w:rPr>
          <w:rFonts w:ascii="Times New Roman" w:hAnsi="Times New Roman" w:cs="Times New Roman"/>
          <w:sz w:val="28"/>
          <w:szCs w:val="28"/>
        </w:rPr>
      </w:pPr>
      <w:r w:rsidRPr="003219DD">
        <w:rPr>
          <w:rFonts w:ascii="Times New Roman" w:hAnsi="Times New Roman" w:cs="Times New Roman"/>
          <w:sz w:val="28"/>
          <w:szCs w:val="28"/>
          <w:lang w:val="en-US"/>
        </w:rPr>
        <w:t>1.</w:t>
      </w:r>
      <w:r w:rsidRPr="003219DD">
        <w:rPr>
          <w:rFonts w:ascii="Times New Roman" w:hAnsi="Times New Roman" w:cs="Times New Roman"/>
          <w:sz w:val="28"/>
          <w:szCs w:val="28"/>
          <w:lang w:val="en-US"/>
        </w:rPr>
        <w:tab/>
      </w:r>
      <w:r w:rsidRPr="003219DD">
        <w:rPr>
          <w:rFonts w:ascii="Times New Roman" w:hAnsi="Times New Roman" w:cs="Times New Roman"/>
          <w:sz w:val="28"/>
          <w:szCs w:val="28"/>
        </w:rPr>
        <w:t>教師因學校整併及系所合併、變更而需轉聘者，以轉聘至整併、合併或變更後之單位服務為原則，但亦得申請轉任其他系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w:t>
      </w:r>
    </w:p>
    <w:p w14:paraId="170C7A9D" w14:textId="17EC2CBC" w:rsidR="00575976" w:rsidRPr="003219DD" w:rsidRDefault="00575976" w:rsidP="00B96166">
      <w:pPr>
        <w:ind w:leftChars="1095" w:left="2409"/>
        <w:jc w:val="both"/>
        <w:rPr>
          <w:rFonts w:ascii="Times New Roman" w:hAnsi="Times New Roman" w:cs="Times New Roman"/>
          <w:sz w:val="28"/>
          <w:szCs w:val="28"/>
        </w:rPr>
      </w:pPr>
      <w:r w:rsidRPr="003219DD">
        <w:rPr>
          <w:rFonts w:ascii="Times New Roman" w:hAnsi="Times New Roman" w:cs="Times New Roman"/>
          <w:sz w:val="28"/>
          <w:szCs w:val="28"/>
          <w:lang w:val="en-US"/>
        </w:rPr>
        <w:t>In principle, faculty members who are subject to a transfer of appointment due to an institutional consolidation, academic program merger, or organizational restructuring shall be transferred to serve in the consolidated, merged, or restructured unit. However, they may also apply to be transferred to another department (graduate institute, office, center, or degree program).</w:t>
      </w:r>
    </w:p>
    <w:p w14:paraId="65108260" w14:textId="77777777" w:rsidR="00575976" w:rsidRPr="003219DD" w:rsidRDefault="00575976" w:rsidP="00B96166">
      <w:pPr>
        <w:ind w:leftChars="903" w:left="2410" w:hangingChars="151" w:hanging="423"/>
        <w:jc w:val="both"/>
        <w:rPr>
          <w:rFonts w:ascii="Times New Roman" w:hAnsi="Times New Roman" w:cs="Times New Roman"/>
          <w:sz w:val="28"/>
          <w:szCs w:val="28"/>
        </w:rPr>
      </w:pPr>
      <w:r w:rsidRPr="003219DD">
        <w:rPr>
          <w:rFonts w:ascii="Times New Roman" w:hAnsi="Times New Roman" w:cs="Times New Roman"/>
          <w:sz w:val="28"/>
          <w:szCs w:val="28"/>
          <w:lang w:val="en-US"/>
        </w:rPr>
        <w:t>2.</w:t>
      </w:r>
      <w:r w:rsidRPr="003219DD">
        <w:rPr>
          <w:rFonts w:ascii="Times New Roman" w:hAnsi="Times New Roman" w:cs="Times New Roman"/>
          <w:sz w:val="28"/>
          <w:szCs w:val="28"/>
          <w:lang w:val="en-US"/>
        </w:rPr>
        <w:tab/>
      </w:r>
      <w:r w:rsidRPr="003219DD">
        <w:rPr>
          <w:rFonts w:ascii="Times New Roman" w:hAnsi="Times New Roman" w:cs="Times New Roman"/>
          <w:sz w:val="28"/>
          <w:szCs w:val="28"/>
        </w:rPr>
        <w:t>教師因學校整併、系所停辦、停招而需轉聘者，各學院應依第一款規定程序協助辦理轉聘作業。</w:t>
      </w:r>
    </w:p>
    <w:p w14:paraId="2EC0185F" w14:textId="0AFB8416" w:rsidR="00575976" w:rsidRPr="003219DD" w:rsidRDefault="00575976" w:rsidP="00B96166">
      <w:pPr>
        <w:ind w:leftChars="1095" w:left="2409"/>
        <w:jc w:val="both"/>
        <w:rPr>
          <w:rFonts w:ascii="Times New Roman" w:hAnsi="Times New Roman" w:cs="Times New Roman"/>
          <w:sz w:val="28"/>
          <w:szCs w:val="28"/>
        </w:rPr>
      </w:pPr>
      <w:r w:rsidRPr="003219DD">
        <w:rPr>
          <w:rFonts w:ascii="Times New Roman" w:hAnsi="Times New Roman" w:cs="Times New Roman"/>
          <w:sz w:val="28"/>
          <w:szCs w:val="28"/>
          <w:lang w:val="en-US"/>
        </w:rPr>
        <w:t>Colleges shall assist faculty members who are subject to a transfer of appointment due to institutional consolidation, or the discontinuation or suspension of admissions of an academic program, in handling the transfer in accordance with the procedures under Subparagraph 1.</w:t>
      </w:r>
    </w:p>
    <w:p w14:paraId="3E5543BD" w14:textId="77777777" w:rsidR="00575976" w:rsidRPr="003219DD" w:rsidRDefault="00575976" w:rsidP="00B96166">
      <w:pPr>
        <w:ind w:leftChars="903" w:left="2410" w:hangingChars="151" w:hanging="423"/>
        <w:jc w:val="both"/>
        <w:rPr>
          <w:rFonts w:ascii="Times New Roman" w:hAnsi="Times New Roman" w:cs="Times New Roman"/>
          <w:sz w:val="28"/>
          <w:szCs w:val="28"/>
        </w:rPr>
      </w:pPr>
      <w:r w:rsidRPr="003219DD">
        <w:rPr>
          <w:rFonts w:ascii="Times New Roman" w:hAnsi="Times New Roman" w:cs="Times New Roman"/>
          <w:sz w:val="28"/>
          <w:szCs w:val="28"/>
          <w:lang w:val="en-US"/>
        </w:rPr>
        <w:t>3.</w:t>
      </w:r>
      <w:r w:rsidRPr="003219DD">
        <w:rPr>
          <w:rFonts w:ascii="Times New Roman" w:hAnsi="Times New Roman" w:cs="Times New Roman"/>
          <w:sz w:val="28"/>
          <w:szCs w:val="28"/>
          <w:lang w:val="en-US"/>
        </w:rPr>
        <w:tab/>
      </w:r>
      <w:r w:rsidRPr="003219DD">
        <w:rPr>
          <w:rFonts w:ascii="Times New Roman" w:hAnsi="Times New Roman" w:cs="Times New Roman"/>
          <w:sz w:val="28"/>
          <w:szCs w:val="28"/>
        </w:rPr>
        <w:t>依本款第一及第二目規定程序未獲通過或有特殊情形者，除有教師法第十四條第一項各款情事者須由三級教評會審議外，基於保障教師工作權，得由人事室專案簽陳校長同意，逕提校教評會審議通過，簽請校長核定後發聘並公告。</w:t>
      </w:r>
    </w:p>
    <w:p w14:paraId="679AC60C" w14:textId="76C62E81" w:rsidR="00575976" w:rsidRPr="003219DD" w:rsidRDefault="00575976" w:rsidP="00B96166">
      <w:pPr>
        <w:ind w:leftChars="1095" w:left="2409"/>
        <w:jc w:val="both"/>
        <w:rPr>
          <w:rFonts w:ascii="Times New Roman" w:hAnsi="Times New Roman" w:cs="Times New Roman"/>
          <w:sz w:val="28"/>
          <w:szCs w:val="28"/>
        </w:rPr>
      </w:pPr>
      <w:r w:rsidRPr="003219DD">
        <w:rPr>
          <w:rFonts w:ascii="Times New Roman" w:hAnsi="Times New Roman" w:cs="Times New Roman"/>
          <w:sz w:val="28"/>
          <w:szCs w:val="28"/>
          <w:lang w:val="en-US"/>
        </w:rPr>
        <w:t>To guarantee the right to work of faculty members, those who fail the review procedures described in Items 1 and 2 of this subparagraph or who are subject to special circumstances may (except in cases falling under any of the subparagraphs of Paragraph 1, Article 14 of the Teachers’ Act, which must be reviewed by all three levels of Faculty Evaluation Committees) have their cases specially submitted by the Office of Personnel for the President’s approval and directly referred to the University Faculty Evaluation Committee for deliberation. Upon final approval by the President, their appointment shall be issued and announced.</w:t>
      </w:r>
    </w:p>
    <w:p w14:paraId="461487EC" w14:textId="77777777" w:rsidR="00575976" w:rsidRPr="003219DD" w:rsidRDefault="00575976" w:rsidP="00B96166">
      <w:pPr>
        <w:ind w:leftChars="516" w:left="1983" w:hangingChars="303" w:hanging="848"/>
        <w:jc w:val="both"/>
        <w:rPr>
          <w:rFonts w:ascii="Times New Roman" w:hAnsi="Times New Roman" w:cs="Times New Roman"/>
          <w:sz w:val="28"/>
          <w:szCs w:val="28"/>
        </w:rPr>
      </w:pPr>
      <w:r w:rsidRPr="003219DD">
        <w:rPr>
          <w:rFonts w:ascii="Times New Roman" w:hAnsi="Times New Roman" w:cs="Times New Roman"/>
          <w:sz w:val="28"/>
          <w:szCs w:val="28"/>
        </w:rPr>
        <w:t>(</w:t>
      </w:r>
      <w:r w:rsidRPr="003219DD">
        <w:rPr>
          <w:rFonts w:ascii="Times New Roman" w:hAnsi="Times New Roman" w:cs="Times New Roman"/>
          <w:sz w:val="28"/>
          <w:szCs w:val="28"/>
        </w:rPr>
        <w:t>三</w:t>
      </w:r>
      <w:r w:rsidRPr="003219DD">
        <w:rPr>
          <w:rFonts w:ascii="Times New Roman" w:hAnsi="Times New Roman" w:cs="Times New Roman"/>
          <w:sz w:val="28"/>
          <w:szCs w:val="28"/>
        </w:rPr>
        <w:t>)</w:t>
      </w:r>
      <w:r w:rsidRPr="003219DD">
        <w:rPr>
          <w:rFonts w:ascii="Times New Roman" w:hAnsi="Times New Roman" w:cs="Times New Roman"/>
          <w:sz w:val="28"/>
          <w:szCs w:val="28"/>
        </w:rPr>
        <w:tab/>
      </w:r>
      <w:r w:rsidRPr="003219DD">
        <w:rPr>
          <w:rFonts w:ascii="Times New Roman" w:hAnsi="Times New Roman" w:cs="Times New Roman"/>
          <w:sz w:val="28"/>
          <w:szCs w:val="28"/>
        </w:rPr>
        <w:t>本校教師轉聘作業，應經單位教評會委員三分之二（含）以上出席及</w:t>
      </w:r>
      <w:r w:rsidRPr="003219DD">
        <w:rPr>
          <w:rFonts w:ascii="Times New Roman" w:hAnsi="Times New Roman" w:cs="Times New Roman"/>
          <w:sz w:val="28"/>
          <w:szCs w:val="28"/>
        </w:rPr>
        <w:lastRenderedPageBreak/>
        <w:t>出席委員三分之二（含）以上同意始得決議。</w:t>
      </w:r>
    </w:p>
    <w:p w14:paraId="74F480B8" w14:textId="7746DB6D" w:rsidR="00575976" w:rsidRPr="003219DD" w:rsidRDefault="002C52B8" w:rsidP="00B96166">
      <w:pPr>
        <w:ind w:leftChars="516" w:left="1983" w:hangingChars="303" w:hanging="848"/>
        <w:jc w:val="both"/>
        <w:rPr>
          <w:rFonts w:ascii="Times New Roman" w:hAnsi="Times New Roman" w:cs="Times New Roman"/>
          <w:sz w:val="28"/>
          <w:szCs w:val="28"/>
        </w:rPr>
      </w:pPr>
      <w:r w:rsidRPr="003219DD">
        <w:rPr>
          <w:rFonts w:ascii="Times New Roman" w:hAnsi="Times New Roman" w:cs="Times New Roman"/>
          <w:sz w:val="28"/>
          <w:szCs w:val="28"/>
          <w:lang w:val="en-US"/>
        </w:rPr>
        <w:t>(III)</w:t>
      </w:r>
      <w:r w:rsidRPr="003219DD">
        <w:rPr>
          <w:rFonts w:ascii="Times New Roman" w:hAnsi="Times New Roman" w:cs="Times New Roman"/>
          <w:sz w:val="28"/>
          <w:szCs w:val="28"/>
          <w:lang w:val="en-US"/>
        </w:rPr>
        <w:tab/>
        <w:t>The transfer of faculty appointments within the University shall be resolved only when at least two-thirds of the members of the Faculty Evaluation Committee of the unit are present, and at least two-thirds of the attending members give their consent.</w:t>
      </w:r>
    </w:p>
    <w:p w14:paraId="62FB0C60" w14:textId="5BDCA78C" w:rsidR="00575976" w:rsidRPr="003219DD" w:rsidRDefault="00575976" w:rsidP="00B96166">
      <w:pPr>
        <w:ind w:left="1134" w:hangingChars="405" w:hanging="1134"/>
        <w:jc w:val="both"/>
        <w:rPr>
          <w:rFonts w:ascii="Times New Roman" w:hAnsi="Times New Roman" w:cs="Times New Roman"/>
          <w:sz w:val="28"/>
          <w:szCs w:val="28"/>
        </w:rPr>
      </w:pPr>
    </w:p>
    <w:p w14:paraId="573D0E07"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三、</w:t>
      </w:r>
      <w:r w:rsidRPr="003219DD">
        <w:rPr>
          <w:rFonts w:ascii="Times New Roman" w:hAnsi="Times New Roman" w:cs="Times New Roman"/>
          <w:sz w:val="28"/>
          <w:szCs w:val="28"/>
        </w:rPr>
        <w:tab/>
      </w:r>
      <w:r w:rsidRPr="003219DD">
        <w:rPr>
          <w:rFonts w:ascii="Times New Roman" w:hAnsi="Times New Roman" w:cs="Times New Roman"/>
          <w:sz w:val="28"/>
          <w:szCs w:val="28"/>
        </w:rPr>
        <w:t>轉聘教師專長領域須符合轉入系</w:t>
      </w:r>
      <w:r w:rsidRPr="003219DD">
        <w:rPr>
          <w:rFonts w:ascii="Times New Roman" w:hAnsi="Times New Roman" w:cs="Times New Roman"/>
          <w:sz w:val="28"/>
          <w:szCs w:val="28"/>
        </w:rPr>
        <w:t>(</w:t>
      </w:r>
      <w:r w:rsidRPr="003219DD">
        <w:rPr>
          <w:rFonts w:ascii="Times New Roman" w:hAnsi="Times New Roman" w:cs="Times New Roman"/>
          <w:sz w:val="28"/>
          <w:szCs w:val="28"/>
        </w:rPr>
        <w:t>所、室、中心、學位學程</w:t>
      </w:r>
      <w:r w:rsidRPr="003219DD">
        <w:rPr>
          <w:rFonts w:ascii="Times New Roman" w:hAnsi="Times New Roman" w:cs="Times New Roman"/>
          <w:sz w:val="28"/>
          <w:szCs w:val="28"/>
        </w:rPr>
        <w:t>)</w:t>
      </w:r>
      <w:r w:rsidRPr="003219DD">
        <w:rPr>
          <w:rFonts w:ascii="Times New Roman" w:hAnsi="Times New Roman" w:cs="Times New Roman"/>
          <w:sz w:val="28"/>
          <w:szCs w:val="28"/>
        </w:rPr>
        <w:t>、學院之教學及發展需求，並實際參與授課。</w:t>
      </w:r>
    </w:p>
    <w:p w14:paraId="5416B0B1" w14:textId="67C855D7"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III.</w:t>
      </w:r>
      <w:r w:rsidRPr="003219DD">
        <w:rPr>
          <w:rFonts w:ascii="Times New Roman" w:hAnsi="Times New Roman" w:cs="Times New Roman"/>
          <w:sz w:val="28"/>
          <w:szCs w:val="28"/>
          <w:lang w:val="en-US"/>
        </w:rPr>
        <w:tab/>
        <w:t>The field of expertise of the transferring faculty member must correspond with the teaching and developmental needs of their destination department (graduate institute, office, center, or degree program) and college, and they shall actually offer courses.</w:t>
      </w:r>
    </w:p>
    <w:p w14:paraId="05854CC6" w14:textId="77777777" w:rsidR="00575976" w:rsidRPr="003219DD" w:rsidRDefault="00575976" w:rsidP="00B96166">
      <w:pPr>
        <w:ind w:left="1134" w:hangingChars="405" w:hanging="1134"/>
        <w:jc w:val="both"/>
        <w:rPr>
          <w:rFonts w:ascii="Times New Roman" w:hAnsi="Times New Roman" w:cs="Times New Roman"/>
          <w:sz w:val="28"/>
          <w:szCs w:val="28"/>
        </w:rPr>
      </w:pPr>
    </w:p>
    <w:p w14:paraId="55F5F1E7"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四、</w:t>
      </w:r>
      <w:r w:rsidRPr="003219DD">
        <w:rPr>
          <w:rFonts w:ascii="Times New Roman" w:hAnsi="Times New Roman" w:cs="Times New Roman"/>
          <w:sz w:val="28"/>
          <w:szCs w:val="28"/>
        </w:rPr>
        <w:tab/>
      </w:r>
      <w:r w:rsidRPr="003219DD">
        <w:rPr>
          <w:rFonts w:ascii="Times New Roman" w:hAnsi="Times New Roman" w:cs="Times New Roman"/>
          <w:sz w:val="28"/>
          <w:szCs w:val="28"/>
        </w:rPr>
        <w:t>轉聘教師在校內所有權利、義務均不受影響。</w:t>
      </w:r>
    </w:p>
    <w:p w14:paraId="65DEEC91" w14:textId="77E603A3"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IV.</w:t>
      </w:r>
      <w:r w:rsidRPr="003219DD">
        <w:rPr>
          <w:rFonts w:ascii="Times New Roman" w:hAnsi="Times New Roman" w:cs="Times New Roman"/>
          <w:sz w:val="28"/>
          <w:szCs w:val="28"/>
          <w:lang w:val="en-US"/>
        </w:rPr>
        <w:tab/>
        <w:t>Faculty members shall be entitled to the same rights and be bound by the same obligations after the transfer of appointment.</w:t>
      </w:r>
    </w:p>
    <w:p w14:paraId="34267010" w14:textId="77777777" w:rsidR="00575976" w:rsidRPr="003219DD" w:rsidRDefault="00575976" w:rsidP="00B96166">
      <w:pPr>
        <w:ind w:left="1134" w:hangingChars="405" w:hanging="1134"/>
        <w:jc w:val="both"/>
        <w:rPr>
          <w:rFonts w:ascii="Times New Roman" w:hAnsi="Times New Roman" w:cs="Times New Roman"/>
          <w:sz w:val="28"/>
          <w:szCs w:val="28"/>
        </w:rPr>
      </w:pPr>
    </w:p>
    <w:p w14:paraId="7D7B9A99"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五、</w:t>
      </w:r>
      <w:r w:rsidRPr="003219DD">
        <w:rPr>
          <w:rFonts w:ascii="Times New Roman" w:hAnsi="Times New Roman" w:cs="Times New Roman"/>
          <w:sz w:val="28"/>
          <w:szCs w:val="28"/>
        </w:rPr>
        <w:tab/>
      </w:r>
      <w:r w:rsidRPr="003219DD">
        <w:rPr>
          <w:rFonts w:ascii="Times New Roman" w:hAnsi="Times New Roman" w:cs="Times New Roman"/>
          <w:sz w:val="28"/>
          <w:szCs w:val="28"/>
        </w:rPr>
        <w:t>因學校整併而需轉聘之教師，升等期限仍依原服務學校規定辦理。教師其他各項權益比照本校專任教師，但原服務學校如有優於或寬於本校教權益者，得由業務單位籌組專案小組研議另訂規定辦理。</w:t>
      </w:r>
    </w:p>
    <w:p w14:paraId="41A5D32E" w14:textId="0935D2A0"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V.</w:t>
      </w:r>
      <w:r w:rsidRPr="003219DD">
        <w:rPr>
          <w:rFonts w:ascii="Times New Roman" w:hAnsi="Times New Roman" w:cs="Times New Roman"/>
          <w:sz w:val="28"/>
          <w:szCs w:val="28"/>
          <w:lang w:val="en-US"/>
        </w:rPr>
        <w:tab/>
        <w:t>Faculty members who are subject to a transfer of appointment due to institutional consolidation shall still be subject to the time limit for promotion stipulated by their original institution. Faculty members who are transferred to the University shall be entitled to the same rights and benefits as other full-time faculty members of the University. If the original institution offered more favorable or lenient rights and benefits than the University, the competent unit may establish an ad hoc task force to review and formulate separate regulations for handling such matters.</w:t>
      </w:r>
    </w:p>
    <w:p w14:paraId="11A35C7D" w14:textId="77777777" w:rsidR="00575976" w:rsidRPr="003219DD" w:rsidRDefault="00575976" w:rsidP="00B96166">
      <w:pPr>
        <w:ind w:left="1134" w:hangingChars="405" w:hanging="1134"/>
        <w:jc w:val="both"/>
        <w:rPr>
          <w:rFonts w:ascii="Times New Roman" w:hAnsi="Times New Roman" w:cs="Times New Roman"/>
          <w:sz w:val="28"/>
          <w:szCs w:val="28"/>
        </w:rPr>
      </w:pPr>
    </w:p>
    <w:p w14:paraId="71E968DF"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六、</w:t>
      </w:r>
      <w:r w:rsidRPr="003219DD">
        <w:rPr>
          <w:rFonts w:ascii="Times New Roman" w:hAnsi="Times New Roman" w:cs="Times New Roman"/>
          <w:sz w:val="28"/>
          <w:szCs w:val="28"/>
        </w:rPr>
        <w:tab/>
      </w:r>
      <w:r w:rsidRPr="003219DD">
        <w:rPr>
          <w:rFonts w:ascii="Times New Roman" w:hAnsi="Times New Roman" w:cs="Times New Roman"/>
          <w:sz w:val="28"/>
          <w:szCs w:val="28"/>
        </w:rPr>
        <w:t>教師轉聘員額移撥依整</w:t>
      </w:r>
      <w:r w:rsidRPr="003219DD">
        <w:rPr>
          <w:rFonts w:ascii="Times New Roman" w:hAnsi="Times New Roman" w:cs="Times New Roman"/>
          <w:sz w:val="28"/>
          <w:szCs w:val="28"/>
        </w:rPr>
        <w:t>(</w:t>
      </w:r>
      <w:r w:rsidRPr="003219DD">
        <w:rPr>
          <w:rFonts w:ascii="Times New Roman" w:hAnsi="Times New Roman" w:cs="Times New Roman"/>
          <w:sz w:val="28"/>
          <w:szCs w:val="28"/>
        </w:rPr>
        <w:t>合</w:t>
      </w:r>
      <w:r w:rsidRPr="003219DD">
        <w:rPr>
          <w:rFonts w:ascii="Times New Roman" w:hAnsi="Times New Roman" w:cs="Times New Roman"/>
          <w:sz w:val="28"/>
          <w:szCs w:val="28"/>
        </w:rPr>
        <w:t>)</w:t>
      </w:r>
      <w:r w:rsidRPr="003219DD">
        <w:rPr>
          <w:rFonts w:ascii="Times New Roman" w:hAnsi="Times New Roman" w:cs="Times New Roman"/>
          <w:sz w:val="28"/>
          <w:szCs w:val="28"/>
        </w:rPr>
        <w:t>併計畫或單位協調規定辦理，必要時提本校教師員額管理小組會議審議。</w:t>
      </w:r>
    </w:p>
    <w:p w14:paraId="431FD38B" w14:textId="13D9F30D"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VI.</w:t>
      </w:r>
      <w:r w:rsidRPr="003219DD">
        <w:rPr>
          <w:rFonts w:ascii="Times New Roman" w:hAnsi="Times New Roman" w:cs="Times New Roman"/>
          <w:sz w:val="28"/>
          <w:szCs w:val="28"/>
          <w:lang w:val="en-US"/>
        </w:rPr>
        <w:tab/>
        <w:t>The transfer of faculty position quotas shall be handled in accordance with the consolidation (merger) plan or through coordination between the relevant units. When necessary, the matter shall be submitted to the Faculty Position Management Task Force of the University for deliberation.</w:t>
      </w:r>
    </w:p>
    <w:p w14:paraId="370354D0" w14:textId="77777777" w:rsidR="00575976" w:rsidRPr="003219DD" w:rsidRDefault="00575976" w:rsidP="00B96166">
      <w:pPr>
        <w:ind w:left="1134" w:hangingChars="405" w:hanging="1134"/>
        <w:jc w:val="both"/>
        <w:rPr>
          <w:rFonts w:ascii="Times New Roman" w:hAnsi="Times New Roman" w:cs="Times New Roman"/>
          <w:sz w:val="28"/>
          <w:szCs w:val="28"/>
        </w:rPr>
      </w:pPr>
    </w:p>
    <w:p w14:paraId="5D7E4986"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七、</w:t>
      </w:r>
      <w:r w:rsidRPr="003219DD">
        <w:rPr>
          <w:rFonts w:ascii="Times New Roman" w:hAnsi="Times New Roman" w:cs="Times New Roman"/>
          <w:sz w:val="28"/>
          <w:szCs w:val="28"/>
        </w:rPr>
        <w:tab/>
      </w:r>
      <w:r w:rsidRPr="003219DD">
        <w:rPr>
          <w:rFonts w:ascii="Times New Roman" w:hAnsi="Times New Roman" w:cs="Times New Roman"/>
          <w:sz w:val="28"/>
          <w:szCs w:val="28"/>
        </w:rPr>
        <w:t>本要點未盡事宜，依有關法令規定辦理。</w:t>
      </w:r>
    </w:p>
    <w:p w14:paraId="15D976D2" w14:textId="14C3F9D5" w:rsidR="00575976"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VII.</w:t>
      </w:r>
      <w:r w:rsidRPr="003219DD">
        <w:rPr>
          <w:rFonts w:ascii="Times New Roman" w:hAnsi="Times New Roman" w:cs="Times New Roman"/>
          <w:sz w:val="28"/>
          <w:szCs w:val="28"/>
          <w:lang w:val="en-US"/>
        </w:rPr>
        <w:tab/>
        <w:t>Matters unaddressed in these Directives shall be subject to other relevant laws and regulations.</w:t>
      </w:r>
    </w:p>
    <w:p w14:paraId="52B02629" w14:textId="77777777" w:rsidR="00575976" w:rsidRPr="003219DD" w:rsidRDefault="00575976" w:rsidP="00B96166">
      <w:pPr>
        <w:ind w:left="1134" w:hangingChars="405" w:hanging="1134"/>
        <w:jc w:val="both"/>
        <w:rPr>
          <w:rFonts w:ascii="Times New Roman" w:hAnsi="Times New Roman" w:cs="Times New Roman"/>
          <w:sz w:val="28"/>
          <w:szCs w:val="28"/>
        </w:rPr>
      </w:pPr>
    </w:p>
    <w:p w14:paraId="5A2677A7" w14:textId="77777777" w:rsidR="00575976" w:rsidRPr="003219DD" w:rsidRDefault="00575976"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rPr>
        <w:t>八、</w:t>
      </w:r>
      <w:r w:rsidRPr="003219DD">
        <w:rPr>
          <w:rFonts w:ascii="Times New Roman" w:hAnsi="Times New Roman" w:cs="Times New Roman"/>
          <w:sz w:val="28"/>
          <w:szCs w:val="28"/>
        </w:rPr>
        <w:tab/>
      </w:r>
      <w:r w:rsidRPr="003219DD">
        <w:rPr>
          <w:rFonts w:ascii="Times New Roman" w:hAnsi="Times New Roman" w:cs="Times New Roman"/>
          <w:sz w:val="28"/>
          <w:szCs w:val="28"/>
        </w:rPr>
        <w:t>本要點經校務會議審議通過後實施，修正時亦同。</w:t>
      </w:r>
    </w:p>
    <w:p w14:paraId="61459B9B" w14:textId="7433E0B2" w:rsidR="001A3BE5" w:rsidRPr="003219DD" w:rsidRDefault="002C52B8" w:rsidP="00B96166">
      <w:pPr>
        <w:ind w:left="1134" w:hangingChars="405" w:hanging="1134"/>
        <w:jc w:val="both"/>
        <w:rPr>
          <w:rFonts w:ascii="Times New Roman" w:hAnsi="Times New Roman" w:cs="Times New Roman"/>
          <w:sz w:val="28"/>
          <w:szCs w:val="28"/>
        </w:rPr>
      </w:pPr>
      <w:r w:rsidRPr="003219DD">
        <w:rPr>
          <w:rFonts w:ascii="Times New Roman" w:hAnsi="Times New Roman" w:cs="Times New Roman"/>
          <w:sz w:val="28"/>
          <w:szCs w:val="28"/>
          <w:lang w:val="en-US"/>
        </w:rPr>
        <w:t>VIII.</w:t>
      </w:r>
      <w:r w:rsidRPr="003219DD">
        <w:rPr>
          <w:rFonts w:ascii="Times New Roman" w:hAnsi="Times New Roman" w:cs="Times New Roman"/>
          <w:sz w:val="28"/>
          <w:szCs w:val="28"/>
          <w:lang w:val="en-US"/>
        </w:rPr>
        <w:tab/>
        <w:t>These Directives and any amendments made hereto shall be implemented upon passage by the University Council.</w:t>
      </w:r>
    </w:p>
    <w:sectPr w:rsidR="001A3BE5" w:rsidRPr="003219DD" w:rsidSect="00FC51C1">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2E2E5" w14:textId="77777777" w:rsidR="0096387C" w:rsidRDefault="0096387C" w:rsidP="002375BC">
      <w:r>
        <w:separator/>
      </w:r>
    </w:p>
  </w:endnote>
  <w:endnote w:type="continuationSeparator" w:id="0">
    <w:p w14:paraId="7ED84FD0" w14:textId="77777777" w:rsidR="0096387C" w:rsidRDefault="0096387C" w:rsidP="0023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4F85" w14:textId="77777777" w:rsidR="00575976" w:rsidRDefault="005759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C9DC" w14:textId="77777777" w:rsidR="00575976" w:rsidRDefault="0057597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4C61" w14:textId="77777777" w:rsidR="00575976" w:rsidRDefault="005759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538F1" w14:textId="77777777" w:rsidR="0096387C" w:rsidRDefault="0096387C" w:rsidP="002375BC">
      <w:r>
        <w:separator/>
      </w:r>
    </w:p>
  </w:footnote>
  <w:footnote w:type="continuationSeparator" w:id="0">
    <w:p w14:paraId="50B31A67" w14:textId="77777777" w:rsidR="0096387C" w:rsidRDefault="0096387C" w:rsidP="0023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DEB3" w14:textId="77777777" w:rsidR="00575976" w:rsidRDefault="0057597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EFC9" w14:textId="77777777" w:rsidR="00575976" w:rsidRDefault="0057597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94FE" w14:textId="77777777" w:rsidR="00575976" w:rsidRDefault="0057597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C65BD"/>
    <w:multiLevelType w:val="hybridMultilevel"/>
    <w:tmpl w:val="3ACAAC60"/>
    <w:lvl w:ilvl="0" w:tplc="18DACA3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6182D48"/>
    <w:multiLevelType w:val="hybridMultilevel"/>
    <w:tmpl w:val="F95030A2"/>
    <w:lvl w:ilvl="0" w:tplc="329839A0">
      <w:start w:val="1"/>
      <w:numFmt w:val="taiwaneseCountingThousand"/>
      <w:lvlText w:val="%1、"/>
      <w:lvlJc w:val="left"/>
      <w:pPr>
        <w:ind w:left="1050" w:hanging="6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BDF2067"/>
    <w:multiLevelType w:val="hybridMultilevel"/>
    <w:tmpl w:val="7E445E64"/>
    <w:lvl w:ilvl="0" w:tplc="E34A0998">
      <w:start w:val="1"/>
      <w:numFmt w:val="decimal"/>
      <w:lvlText w:val="%1."/>
      <w:lvlJc w:val="left"/>
      <w:pPr>
        <w:ind w:left="1680" w:hanging="24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546B4EA5"/>
    <w:multiLevelType w:val="hybridMultilevel"/>
    <w:tmpl w:val="69AA3014"/>
    <w:lvl w:ilvl="0" w:tplc="FAD8C288">
      <w:start w:val="1"/>
      <w:numFmt w:val="decimal"/>
      <w:lvlText w:val="%1."/>
      <w:lvlJc w:val="left"/>
      <w:pPr>
        <w:ind w:left="1680" w:hanging="24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54"/>
    <w:rsid w:val="000533BB"/>
    <w:rsid w:val="00055CE6"/>
    <w:rsid w:val="00070755"/>
    <w:rsid w:val="00087C55"/>
    <w:rsid w:val="00095944"/>
    <w:rsid w:val="000D5544"/>
    <w:rsid w:val="000D5B15"/>
    <w:rsid w:val="001912B7"/>
    <w:rsid w:val="001A3BE5"/>
    <w:rsid w:val="001A6BD2"/>
    <w:rsid w:val="001B258E"/>
    <w:rsid w:val="001B2EDC"/>
    <w:rsid w:val="001E725C"/>
    <w:rsid w:val="00226EEA"/>
    <w:rsid w:val="002375BC"/>
    <w:rsid w:val="00266D62"/>
    <w:rsid w:val="002919F2"/>
    <w:rsid w:val="002C52B8"/>
    <w:rsid w:val="002C55AE"/>
    <w:rsid w:val="002D0F4D"/>
    <w:rsid w:val="003219DD"/>
    <w:rsid w:val="003646B6"/>
    <w:rsid w:val="00386CBF"/>
    <w:rsid w:val="003C490F"/>
    <w:rsid w:val="003D356B"/>
    <w:rsid w:val="004269C8"/>
    <w:rsid w:val="004469C4"/>
    <w:rsid w:val="0054231B"/>
    <w:rsid w:val="00566DA8"/>
    <w:rsid w:val="00573E37"/>
    <w:rsid w:val="00575976"/>
    <w:rsid w:val="005C7513"/>
    <w:rsid w:val="006007D9"/>
    <w:rsid w:val="006358AD"/>
    <w:rsid w:val="00647659"/>
    <w:rsid w:val="00683BBD"/>
    <w:rsid w:val="006A6C95"/>
    <w:rsid w:val="007005D8"/>
    <w:rsid w:val="00742B1F"/>
    <w:rsid w:val="007478B9"/>
    <w:rsid w:val="00763F74"/>
    <w:rsid w:val="00773EA0"/>
    <w:rsid w:val="007B426E"/>
    <w:rsid w:val="007B75A1"/>
    <w:rsid w:val="00843022"/>
    <w:rsid w:val="00843237"/>
    <w:rsid w:val="008A3CC4"/>
    <w:rsid w:val="009002DD"/>
    <w:rsid w:val="009258B6"/>
    <w:rsid w:val="0096387C"/>
    <w:rsid w:val="0099359E"/>
    <w:rsid w:val="009C5D66"/>
    <w:rsid w:val="009C7AD8"/>
    <w:rsid w:val="009F1086"/>
    <w:rsid w:val="00A171E7"/>
    <w:rsid w:val="00A37E42"/>
    <w:rsid w:val="00A601FE"/>
    <w:rsid w:val="00A746A8"/>
    <w:rsid w:val="00AB6AF2"/>
    <w:rsid w:val="00AC692B"/>
    <w:rsid w:val="00AD16FD"/>
    <w:rsid w:val="00AF369F"/>
    <w:rsid w:val="00B56DDE"/>
    <w:rsid w:val="00B9366D"/>
    <w:rsid w:val="00B96166"/>
    <w:rsid w:val="00BD5571"/>
    <w:rsid w:val="00BE66B6"/>
    <w:rsid w:val="00BF5DBD"/>
    <w:rsid w:val="00C47254"/>
    <w:rsid w:val="00CB7B9A"/>
    <w:rsid w:val="00CC4398"/>
    <w:rsid w:val="00CD40BB"/>
    <w:rsid w:val="00D105D8"/>
    <w:rsid w:val="00D327F3"/>
    <w:rsid w:val="00D45C69"/>
    <w:rsid w:val="00DA3031"/>
    <w:rsid w:val="00DB175D"/>
    <w:rsid w:val="00DF013B"/>
    <w:rsid w:val="00DF0E33"/>
    <w:rsid w:val="00E03030"/>
    <w:rsid w:val="00E46431"/>
    <w:rsid w:val="00E60710"/>
    <w:rsid w:val="00E7140A"/>
    <w:rsid w:val="00EC4325"/>
    <w:rsid w:val="00F071F9"/>
    <w:rsid w:val="00F142EC"/>
    <w:rsid w:val="00F253D0"/>
    <w:rsid w:val="00F624E6"/>
    <w:rsid w:val="00F650D8"/>
    <w:rsid w:val="00F861FD"/>
    <w:rsid w:val="00FC51C1"/>
    <w:rsid w:val="00FF51A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0692D"/>
  <w15:docId w15:val="{89ED6379-45FC-CD4D-AD0F-203196C4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70"/>
      <w:ind w:left="132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BE66B6"/>
    <w:rPr>
      <w:sz w:val="16"/>
      <w:szCs w:val="16"/>
    </w:rPr>
  </w:style>
  <w:style w:type="paragraph" w:styleId="a6">
    <w:name w:val="annotation text"/>
    <w:basedOn w:val="a"/>
    <w:link w:val="a7"/>
    <w:uiPriority w:val="99"/>
    <w:unhideWhenUsed/>
    <w:rsid w:val="00BE66B6"/>
    <w:rPr>
      <w:sz w:val="20"/>
      <w:szCs w:val="20"/>
    </w:rPr>
  </w:style>
  <w:style w:type="character" w:customStyle="1" w:styleId="a7">
    <w:name w:val="註解文字 字元"/>
    <w:basedOn w:val="a0"/>
    <w:link w:val="a6"/>
    <w:uiPriority w:val="99"/>
    <w:rsid w:val="00BE66B6"/>
    <w:rPr>
      <w:rFonts w:ascii="標楷體" w:eastAsia="標楷體" w:hAnsi="標楷體" w:cs="標楷體"/>
      <w:sz w:val="20"/>
      <w:szCs w:val="20"/>
      <w:lang w:val="zh-TW" w:eastAsia="zh-TW" w:bidi="zh-TW"/>
    </w:rPr>
  </w:style>
  <w:style w:type="paragraph" w:styleId="a8">
    <w:name w:val="annotation subject"/>
    <w:basedOn w:val="a6"/>
    <w:next w:val="a6"/>
    <w:link w:val="a9"/>
    <w:uiPriority w:val="99"/>
    <w:semiHidden/>
    <w:unhideWhenUsed/>
    <w:rsid w:val="00BE66B6"/>
    <w:rPr>
      <w:b/>
      <w:bCs/>
    </w:rPr>
  </w:style>
  <w:style w:type="character" w:customStyle="1" w:styleId="a9">
    <w:name w:val="註解主旨 字元"/>
    <w:basedOn w:val="a7"/>
    <w:link w:val="a8"/>
    <w:uiPriority w:val="99"/>
    <w:semiHidden/>
    <w:rsid w:val="00BE66B6"/>
    <w:rPr>
      <w:rFonts w:ascii="標楷體" w:eastAsia="標楷體" w:hAnsi="標楷體" w:cs="標楷體"/>
      <w:b/>
      <w:bCs/>
      <w:sz w:val="20"/>
      <w:szCs w:val="20"/>
      <w:lang w:val="zh-TW" w:eastAsia="zh-TW" w:bidi="zh-TW"/>
    </w:rPr>
  </w:style>
  <w:style w:type="paragraph" w:styleId="aa">
    <w:name w:val="Revision"/>
    <w:hidden/>
    <w:uiPriority w:val="99"/>
    <w:semiHidden/>
    <w:rsid w:val="007B426E"/>
    <w:pPr>
      <w:widowControl/>
      <w:autoSpaceDE/>
      <w:autoSpaceDN/>
    </w:pPr>
    <w:rPr>
      <w:rFonts w:ascii="標楷體" w:eastAsia="標楷體" w:hAnsi="標楷體" w:cs="標楷體"/>
      <w:lang w:val="zh-TW" w:eastAsia="zh-TW" w:bidi="zh-TW"/>
    </w:rPr>
  </w:style>
  <w:style w:type="paragraph" w:styleId="ab">
    <w:name w:val="header"/>
    <w:basedOn w:val="a"/>
    <w:link w:val="ac"/>
    <w:uiPriority w:val="99"/>
    <w:unhideWhenUsed/>
    <w:rsid w:val="002375BC"/>
    <w:pPr>
      <w:tabs>
        <w:tab w:val="center" w:pos="4680"/>
        <w:tab w:val="right" w:pos="9360"/>
      </w:tabs>
    </w:pPr>
  </w:style>
  <w:style w:type="character" w:customStyle="1" w:styleId="ac">
    <w:name w:val="頁首 字元"/>
    <w:basedOn w:val="a0"/>
    <w:link w:val="ab"/>
    <w:uiPriority w:val="99"/>
    <w:rsid w:val="002375BC"/>
    <w:rPr>
      <w:rFonts w:ascii="標楷體" w:eastAsia="標楷體" w:hAnsi="標楷體" w:cs="標楷體"/>
      <w:lang w:val="zh-TW" w:eastAsia="zh-TW" w:bidi="zh-TW"/>
    </w:rPr>
  </w:style>
  <w:style w:type="paragraph" w:styleId="ad">
    <w:name w:val="footer"/>
    <w:basedOn w:val="a"/>
    <w:link w:val="ae"/>
    <w:uiPriority w:val="99"/>
    <w:unhideWhenUsed/>
    <w:rsid w:val="002375BC"/>
    <w:pPr>
      <w:tabs>
        <w:tab w:val="center" w:pos="4680"/>
        <w:tab w:val="right" w:pos="9360"/>
      </w:tabs>
    </w:pPr>
  </w:style>
  <w:style w:type="character" w:customStyle="1" w:styleId="ae">
    <w:name w:val="頁尾 字元"/>
    <w:basedOn w:val="a0"/>
    <w:link w:val="ad"/>
    <w:uiPriority w:val="99"/>
    <w:rsid w:val="002375BC"/>
    <w:rPr>
      <w:rFonts w:ascii="標楷體" w:eastAsia="標楷體" w:hAnsi="標楷體" w:cs="標楷體"/>
      <w:lang w:val="zh-TW" w:eastAsia="zh-TW" w:bidi="zh-TW"/>
    </w:rPr>
  </w:style>
  <w:style w:type="paragraph" w:styleId="af">
    <w:name w:val="Balloon Text"/>
    <w:basedOn w:val="a"/>
    <w:link w:val="af0"/>
    <w:uiPriority w:val="99"/>
    <w:semiHidden/>
    <w:unhideWhenUsed/>
    <w:rsid w:val="00F253D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253D0"/>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國立中興大學專任教師轉聘作業要點</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國立中興大學專任教師轉聘作業要點</dc:title>
  <dc:creator>User</dc:creator>
  <cp:lastModifiedBy>(Edit_PR Leader) Ann Lai</cp:lastModifiedBy>
  <cp:revision>13</cp:revision>
  <dcterms:created xsi:type="dcterms:W3CDTF">2024-07-17T03:39:00Z</dcterms:created>
  <dcterms:modified xsi:type="dcterms:W3CDTF">2025-11-04T01:09:00Z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2010</vt:lpwstr>
  </property>
  <property fmtid="{D5CDD505-2E9C-101B-9397-08002B2CF9AE}" pid="4" name="LastSaved">
    <vt:filetime>2023-09-01T00:00:00Z</vt:filetime>
  </property>
</Properties>
</file>